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45.png" ContentType="image/png"/>
  <Override PartName="/word/media/rId42.png" ContentType="image/png"/>
  <Override PartName="/word/media/rId28.png" ContentType="image/png"/>
  <Override PartName="/word/media/rId43.png" ContentType="image/png"/>
  <Override PartName="/word/media/rId47.png" ContentType="image/png"/>
  <Override PartName="/word/media/rId27.png" ContentType="image/png"/>
  <Override PartName="/word/media/rId32.png" ContentType="image/png"/>
  <Override PartName="/word/media/rId50.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2"/>
        </w:numPr>
        <w:pStyle w:val="Compact"/>
      </w:pPr>
      <w:r>
        <w:t xml:space="preserve">One or two sentences providing a basic introduction to the field, comprehensible to a scientist in any discipline.</w:t>
      </w:r>
    </w:p>
    <w:p>
      <w:pPr>
        <w:numPr>
          <w:ilvl w:val="0"/>
          <w:numId w:val="1002"/>
        </w:numPr>
        <w:pStyle w:val="Compact"/>
      </w:pPr>
      <w:r>
        <w:t xml:space="preserve">Two to three sentences ofmore detailed background, comprehensible to scientists in related disciplines.</w:t>
      </w:r>
    </w:p>
    <w:p>
      <w:pPr>
        <w:numPr>
          <w:ilvl w:val="0"/>
          <w:numId w:val="1002"/>
        </w:numPr>
        <w:pStyle w:val="Compact"/>
      </w:pPr>
      <w:r>
        <w:t xml:space="preserve">One sentence clearly stating the general problem being addressed by this particular study.</w:t>
      </w:r>
    </w:p>
    <w:p>
      <w:pPr>
        <w:numPr>
          <w:ilvl w:val="0"/>
          <w:numId w:val="1002"/>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2"/>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2"/>
        </w:numPr>
        <w:pStyle w:val="Compact"/>
      </w:pPr>
      <w:r>
        <w:t xml:space="preserve">One or two sentences to put the results into a more general context.</w:t>
      </w:r>
    </w:p>
    <w:p>
      <w:pPr>
        <w:numPr>
          <w:ilvl w:val="0"/>
          <w:numId w:val="1002"/>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t xml:space="preserve">Introduction</w:t>
      </w:r>
    </w:p>
    <w:bookmarkStart w:id="23" w:name="X660eb9b5071899a1078d478a7b98063919019bb"/>
    <w:p>
      <w:pPr>
        <w:pStyle w:val="Heading2"/>
      </w:pP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334000" cy="2998893"/>
            <wp:effectExtent b="0" l="0" r="0" t="0"/>
            <wp:docPr descr="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334000" cy="2998893"/>
                    </a:xfrm>
                    <a:prstGeom prst="rect">
                      <a:avLst/>
                    </a:prstGeom>
                    <a:noFill/>
                    <a:ln w="9525">
                      <a:noFill/>
                      <a:headEnd/>
                      <a:tailEnd/>
                    </a:ln>
                  </pic:spPr>
                </pic:pic>
              </a:graphicData>
            </a:graphic>
          </wp:inline>
        </w:drawing>
      </w:r>
    </w:p>
    <w:p>
      <w:pPr>
        <w:pStyle w:val="ImageCaption"/>
      </w:pPr>
      <w:r>
        <w:t xml:space="preserve">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334000" cy="230894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334000" cy="2308946"/>
                    </a:xfrm>
                    <a:prstGeom prst="rect">
                      <a:avLst/>
                    </a:prstGeom>
                    <a:noFill/>
                    <a:ln w="9525">
                      <a:noFill/>
                      <a:headEnd/>
                      <a:tailEnd/>
                    </a:ln>
                  </pic:spPr>
                </pic:pic>
              </a:graphicData>
            </a:graphic>
          </wp:inline>
        </w:drawing>
      </w:r>
    </w:p>
    <w:bookmarkEnd w:id="29"/>
    <w:bookmarkEnd w:id="30"/>
    <w:bookmarkStart w:id="41" w:name="materials-and-methods"/>
    <w:p>
      <w:pPr>
        <w:pStyle w:val="Heading1"/>
      </w:pPr>
      <w:r>
        <w:t xml:space="preserve">Materials and Methods</w:t>
      </w:r>
    </w:p>
    <w:bookmarkStart w:id="31"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w:t>
      </w:r>
      <w:r>
        <w:t xml:space="preserve"> </w:t>
      </w:r>
      <w:r>
        <w:t xml:space="preserve">The climate is humid temperate, with a mean annual precipitation of 998 mm and temperatures averaging 1° C in January and 24° C in July (Helcoski et al, 2019).</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
        </w:rPr>
        <w:t xml:space="preserve">(time frame)</w:t>
      </w:r>
      <w:r>
        <w:t xml:space="preserve"> </w:t>
      </w:r>
      <w:r>
        <w:t xml:space="preserve">and signficant hurricane damage in</w:t>
      </w:r>
      <w:r>
        <w:t xml:space="preserve"> </w:t>
      </w:r>
      <w:r>
        <w:rPr>
          <w:i/>
        </w:rPr>
        <w:t xml:space="preserve">YEAR</w:t>
      </w:r>
      <w:r>
        <w:t xml:space="preserve">.</w:t>
      </w:r>
      <w:r>
        <w:t xml:space="preserve"> </w:t>
      </w:r>
      <w:r>
        <w:t xml:space="preserve">Dominate species within the 35 ha ForestGEO plot are hemlock (</w:t>
      </w:r>
      <w:r>
        <w:rPr>
          <w:i/>
        </w:rPr>
        <w:t xml:space="preserve">Tsuga spp.</w:t>
      </w:r>
      <w:r>
        <w:t xml:space="preserve">), oak (</w:t>
      </w:r>
      <w:r>
        <w:rPr>
          <w:i/>
        </w:rPr>
        <w:t xml:space="preserve">Quercus spp.</w:t>
      </w:r>
      <w:r>
        <w:t xml:space="preserve">) and maple (</w:t>
      </w:r>
      <w:r>
        <w:rPr>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1"/>
    <w:bookmarkStart w:id="38" w:name="data-collection-and-preparation"/>
    <w:p>
      <w:pPr>
        <w:pStyle w:val="Heading2"/>
      </w:pPr>
      <w:r>
        <w:t xml:space="preserve">Data collection and preparation</w:t>
      </w:r>
    </w:p>
    <w:bookmarkStart w:id="33"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2).</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2).</w:t>
      </w:r>
    </w:p>
    <w:p>
      <w:pPr>
        <w:pStyle w:val="BodyText"/>
      </w:pPr>
      <w:r>
        <w:drawing>
          <wp:inline>
            <wp:extent cx="5334000" cy="4249907"/>
            <wp:effectExtent b="0" l="0" r="0" t="0"/>
            <wp:docPr descr="" title="" id="1" name="Picture"/>
            <a:graphic>
              <a:graphicData uri="http://schemas.openxmlformats.org/drawingml/2006/picture">
                <pic:pic>
                  <pic:nvPicPr>
                    <pic:cNvPr descr="tables_figures/species_table.png" id="0" name="Picture"/>
                    <pic:cNvPicPr>
                      <a:picLocks noChangeArrowheads="1" noChangeAspect="1"/>
                    </pic:cNvPicPr>
                  </pic:nvPicPr>
                  <pic:blipFill>
                    <a:blip r:embed="rId32"/>
                    <a:stretch>
                      <a:fillRect/>
                    </a:stretch>
                  </pic:blipFill>
                  <pic:spPr bwMode="auto">
                    <a:xfrm>
                      <a:off x="0" y="0"/>
                      <a:ext cx="5334000" cy="4249907"/>
                    </a:xfrm>
                    <a:prstGeom prst="rect">
                      <a:avLst/>
                    </a:prstGeom>
                    <a:noFill/>
                    <a:ln w="9525">
                      <a:noFill/>
                      <a:headEnd/>
                      <a:tailEnd/>
                    </a:ln>
                  </pic:spPr>
                </pic:pic>
              </a:graphicData>
            </a:graphic>
          </wp:inline>
        </w:drawing>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θ</m:t>
        </m:r>
      </m:oMath>
      <w:r>
        <w:t xml:space="preserve"> </w:t>
      </w:r>
      <w:r>
        <w:t xml:space="preserve">is a tuning parameter controlling the slope of the curve toward the upper asymptote,</w:t>
      </w:r>
      <w:r>
        <w:t xml:space="preserve"> </w:t>
      </w:r>
      <m:oMath>
        <m:r>
          <m:t>r</m:t>
        </m:r>
      </m:oMath>
      <w:r>
        <w:t xml:space="preserve"> </w:t>
      </w:r>
      <w:r>
        <w:t xml:space="preserve">is the slope of the curve at the inflection point,</w:t>
      </w:r>
      <w:r>
        <w:t xml:space="preserve"> </w:t>
      </w:r>
      <m:oMath>
        <m:r>
          <m:t>D</m:t>
        </m:r>
        <m:r>
          <m:t>O</m:t>
        </m:r>
        <m:sSub>
          <m:e>
            <m:r>
              <m:t>Y</m:t>
            </m:r>
          </m:e>
          <m:sub>
            <m:r>
              <m:t>i</m:t>
            </m:r>
            <m:r>
              <m:t>p</m:t>
            </m:r>
          </m:sub>
        </m:sSub>
      </m:oMath>
      <w:r>
        <w:t xml:space="preserve"> </w:t>
      </w:r>
      <w:r>
        <w:t xml:space="preserve">is the day of year where the inflection point in growth rate occurs, and</w:t>
      </w:r>
      <w:r>
        <w:t xml:space="preserve"> </w:t>
      </w:r>
      <m:oMath>
        <m:r>
          <m:t>D</m:t>
        </m:r>
        <m:r>
          <m:t>O</m:t>
        </m:r>
        <m:r>
          <m:t>Y</m:t>
        </m:r>
      </m:oMath>
      <w:r>
        <w:t xml:space="preserve"> </w:t>
      </w:r>
      <w:r>
        <w:t xml:space="preserve">are the modeled days of year (</w:t>
      </w:r>
      <w:r>
        <w:rPr>
          <w:i/>
        </w:rPr>
        <w:t xml:space="preserve">i.e.</w:t>
      </w:r>
      <w:r>
        <w:t xml:space="preserve">, julian days).</w:t>
      </w:r>
      <w:r>
        <w:t xml:space="preserve"> </w:t>
      </w:r>
      <w:r>
        <w:rPr>
          <w:i/>
        </w:rPr>
        <w:t xml:space="preserve">We note that the maximum growth rate does not always occur on the doy_ip, and is controlled magically by theta somehow. (???)</w:t>
      </w:r>
      <w:r>
        <w:t xml:space="preserve"> </w:t>
      </w:r>
      <w:r>
        <w:t xml:space="preserve">Using the optimized parameters for each tree-year, we could then determine the</w:t>
      </w:r>
      <w:r>
        <w:t xml:space="preserve"> </w:t>
      </w:r>
      <m:oMath>
        <m:r>
          <m:t>D</m:t>
        </m:r>
        <m:r>
          <m:t>B</m:t>
        </m:r>
        <m:r>
          <m:t>H</m:t>
        </m:r>
      </m:oMath>
      <w:r>
        <w:t xml:space="preserve"> </w:t>
      </w:r>
      <w:r>
        <w:t xml:space="preserve">on every day within that year, giving us the ability to extract the intra-annual growth variables of interest (Fig. 1).</w:t>
      </w:r>
    </w:p>
    <w:p>
      <w:pPr>
        <w:pStyle w:val="BodyText"/>
      </w:pPr>
      <w:r>
        <w:t xml:space="preserve">After fitting the</w:t>
      </w:r>
      <w:r>
        <w:t xml:space="preserve"> </w:t>
      </w:r>
      <w:r>
        <w:t xml:space="preserve">McMahon &amp; Parker (2015)</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
        </w:rPr>
        <w:t xml:space="preserve">(data_cleaning_figure_scbi)</w:t>
      </w:r>
      <w:r>
        <w:t xml:space="preserve">.</w:t>
      </w:r>
    </w:p>
    <w:bookmarkEnd w:id="33"/>
    <w:bookmarkStart w:id="34"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2),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w:t>
      </w:r>
      <w:r>
        <w:rPr>
          <w:b/>
        </w:rPr>
        <w:t xml:space="preserve">???</w:t>
      </w:r>
      <w:r>
        <w:t xml:space="preserve">)</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t xml:space="preserve"> </w:t>
      </w:r>
      <w:r>
        <w:t xml:space="preserve">(live trees in 2010-2011;</w:t>
      </w:r>
      <w:r>
        <w:t xml:space="preserve"> </w:t>
      </w:r>
      <w:r>
        <w:rPr>
          <w:b/>
        </w:rPr>
        <w:t xml:space="preserve">???</w:t>
      </w:r>
      <w:r>
        <w:t xml:space="preserve">)</w:t>
      </w:r>
      <w:r>
        <w:t xml:space="preserve"> </w:t>
      </w:r>
      <w:r>
        <w:t xml:space="preserve">and trees found newly dead in annual tree mortality in 2016 and 2017</w:t>
      </w:r>
      <w:r>
        <w:t xml:space="preserve"> </w:t>
      </w:r>
      <w:r>
        <w:t xml:space="preserve">(</w:t>
      </w:r>
      <w:r>
        <w:rPr>
          <w:b/>
        </w:rPr>
        <w:t xml:space="preserve">???</w:t>
      </w:r>
      <w:r>
        <w:t xml:space="preserve">)</w:t>
      </w:r>
      <w:r>
        <w:t xml:space="preserve">.</w:t>
      </w:r>
      <w:r>
        <w:t xml:space="preserve"> </w:t>
      </w:r>
      <w:r>
        <w:t xml:space="preserve">At Harvard Forest, …(</w:t>
      </w:r>
      <w:r>
        <w:rPr>
          <w:i/>
        </w:rPr>
        <w:t xml:space="preserve">Neil can write this easily, or KAT probably has the info</w:t>
      </w:r>
      <w:r>
        <w:t xml:space="preserve">)</w:t>
      </w:r>
      <w:r>
        <w:t xml:space="preserve"> </w:t>
      </w:r>
      <w:r>
        <w:t xml:space="preserve">In total, we analyzed 926 cores from eleven species at SCBI and three species at Harvard Forest (Table 2).</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t xml:space="preserve"> </w:t>
      </w:r>
      <w:r>
        <w:t xml:space="preserve">(</w:t>
      </w:r>
      <w:r>
        <w:rPr>
          <w:b/>
        </w:rPr>
        <w:t xml:space="preserve">???</w:t>
      </w:r>
      <w:r>
        <w:t xml:space="preserve">;</w:t>
      </w:r>
      <w:r>
        <w:t xml:space="preserve"> </w:t>
      </w:r>
      <w:r>
        <w:rPr>
          <w:b/>
        </w:rPr>
        <w:t xml:space="preserve">???</w:t>
      </w:r>
      <w:r>
        <w:t xml:space="preserve">)</w:t>
      </w:r>
      <w:r>
        <w:t xml:space="preserve">.</w:t>
      </w:r>
      <w:r>
        <w:t xml:space="preserve"> </w:t>
      </w:r>
      <w:r>
        <w:rPr>
          <w:i/>
        </w:rPr>
        <w:t xml:space="preserve">(The following italic text is self-plagarized from Helcoski and needs to be reworded:)</w:t>
      </w:r>
      <w:r>
        <w:t xml:space="preserve"> </w:t>
      </w:r>
      <w:r>
        <w:rPr>
          <w:i/>
        </w:rPr>
        <w:t xml:space="preserve">The influence of outliers in all series was reduced using the adaptive power transformation, which also stabilises the variance over time</w:t>
      </w:r>
      <w:r>
        <w:rPr>
          <w:i/>
        </w:rPr>
        <w:t xml:space="preserve"> </w:t>
      </w:r>
      <w:r>
        <w:rPr>
          <w:i/>
        </w:rPr>
        <w:t xml:space="preserve">(</w:t>
      </w:r>
      <w:r>
        <w:rPr>
          <w:b/>
          <w:i/>
        </w:rPr>
        <w:t xml:space="preserve">???</w:t>
      </w:r>
      <w:r>
        <w:rPr>
          <w:i/>
        </w:rPr>
        <w:t xml:space="preserve">)</w:t>
      </w:r>
      <w:r>
        <w:rPr>
          <w:i/>
        </w:rPr>
        <w:t xml:space="preserve">. Next, each series was stabilised using either the average correlation between raw ring-width series (rbar) method or a 1/3rds spline method to adjust changes in variance as series replication decreased towards the earlier portion of each chronology</w:t>
      </w:r>
      <w:r>
        <w:rPr>
          <w:i/>
        </w:rPr>
        <w:t xml:space="preserve"> </w:t>
      </w:r>
      <w:r>
        <w:rPr>
          <w:i/>
        </w:rPr>
        <w:t xml:space="preserve">(</w:t>
      </w:r>
      <w:r>
        <w:rPr>
          <w:b/>
          <w:i/>
        </w:rPr>
        <w:t xml:space="preserve">???</w:t>
      </w:r>
      <w:r>
        <w:rPr>
          <w:i/>
        </w:rPr>
        <w:t xml:space="preserve">)</w:t>
      </w:r>
      <w:r>
        <w:rPr>
          <w:i/>
        </w:rPr>
        <w:t xml:space="preserve">. 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i/>
        </w:rPr>
        <w:t xml:space="preserve"> </w:t>
      </w:r>
      <w:r>
        <w:rPr>
          <w:i/>
        </w:rPr>
        <w:t xml:space="preserve">(</w:t>
      </w:r>
      <w:r>
        <w:rPr>
          <w:b/>
          <w:i/>
        </w:rPr>
        <w:t xml:space="preserve">???</w:t>
      </w:r>
      <w:r>
        <w:rPr>
          <w:i/>
        </w:rPr>
        <w:t xml:space="preserve">)</w:t>
      </w:r>
      <w:r>
        <w:rPr>
          <w:i/>
        </w:rPr>
        <w:t xml:space="preserve">. 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i/>
        </w:rPr>
        <w:t xml:space="preserve"> </w:t>
      </w:r>
      <w:r>
        <w:rPr>
          <w:i/>
        </w:rPr>
        <w:t xml:space="preserve">(</w:t>
      </w:r>
      <w:r>
        <w:rPr>
          <w:b/>
          <w:i/>
        </w:rPr>
        <w:t xml:space="preserve">???</w:t>
      </w:r>
      <w:r>
        <w:rPr>
          <w:i/>
        </w:rPr>
        <w:t xml:space="preserve">)</w:t>
      </w:r>
      <w:r>
        <w:rPr>
          <w:i/>
        </w:rPr>
        <w:t xml:space="preserve">.</w:t>
      </w:r>
      <w:r>
        <w:t xml:space="preserve"> </w:t>
      </w:r>
      <w:r>
        <w:t xml:space="preserve">We defined chronology start year (Table 2) as the year where subsample signal strength (SSS) passed a threshold of SSS = 0.8, or where</w:t>
      </w:r>
      <w:r>
        <w:t xml:space="preserve"> </w:t>
      </w:r>
      <m:oMath>
        <m:r>
          <m:t>≥</m:t>
        </m:r>
      </m:oMath>
      <w:r>
        <w:t xml:space="preserve"> </w:t>
      </w:r>
      <w:r>
        <w:t xml:space="preserve">80% of the population signal was captured in the chronology.</w:t>
      </w:r>
    </w:p>
    <w:bookmarkEnd w:id="34"/>
    <w:bookmarkStart w:id="37"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t xml:space="preserve"> </w:t>
      </w:r>
      <w:r>
        <w:t xml:space="preserve">(</w:t>
      </w:r>
      <w:hyperlink r:id="rId35">
        <w:r>
          <w:rPr>
            <w:rStyle w:val="Hyperlink"/>
          </w:rPr>
          <w:t xml:space="preserve">https://forestgeo.github.io/Climate/</w:t>
        </w:r>
      </w:hyperlink>
      <w:r>
        <w:t xml:space="preserve">;</w:t>
      </w:r>
      <w:r>
        <w:t xml:space="preserve"> </w:t>
      </w:r>
      <w:r>
        <w:rPr>
          <w:b/>
        </w:rPr>
        <w:t xml:space="preserve">???</w:t>
      </w:r>
      <w:r>
        <w:t xml:space="preserve">)</w:t>
      </w:r>
      <w:r>
        <w:t xml:space="preserve">.</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36">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t xml:space="preserve"> </w:t>
      </w:r>
      <w:r>
        <w:t xml:space="preserve">(</w:t>
      </w:r>
      <w:r>
        <w:rPr>
          <w:b/>
        </w:rPr>
        <w:t xml:space="preserve">???</w:t>
      </w:r>
      <w:r>
        <w:t xml:space="preserve">)</w:t>
      </w:r>
      <w:r>
        <w:t xml:space="preserve">, again via the ForestGEO Climate Data Portal v1.0</w:t>
      </w:r>
      <w:r>
        <w:t xml:space="preserve"> </w:t>
      </w:r>
      <w:r>
        <w:t xml:space="preserve">(</w:t>
      </w:r>
      <w:r>
        <w:rPr>
          <w:b/>
        </w:rPr>
        <w:t xml:space="preserve">???</w:t>
      </w:r>
      <w:r>
        <w:t xml:space="preserve">)</w:t>
      </w:r>
      <w:r>
        <w:t xml:space="preserve">.</w:t>
      </w:r>
    </w:p>
    <w:bookmarkEnd w:id="37"/>
    <w:bookmarkEnd w:id="38"/>
    <w:bookmarkStart w:id="39"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
        </w:rPr>
        <w:t xml:space="preserve">climwin</w:t>
      </w:r>
      <w:r>
        <w:t xml:space="preserve"> </w:t>
      </w:r>
      <w:r>
        <w:t xml:space="preserve">(</w:t>
      </w:r>
      <w:r>
        <w:rPr>
          <w:b/>
        </w:rPr>
        <w:t xml:space="preserve">???</w:t>
      </w:r>
      <w:r>
        <w:t xml:space="preserve">)</w:t>
      </w:r>
      <w:r>
        <w:t xml:space="preserve">.</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3).</w:t>
      </w:r>
      <w:r>
        <w:t xml:space="preserve"> </w:t>
      </w:r>
      <w:r>
        <w:rPr>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t xml:space="preserve"> </w:t>
      </w:r>
      <w:r>
        <w:t xml:space="preserve">(</w:t>
      </w:r>
      <w:r>
        <w:rPr>
          <w:b/>
        </w:rPr>
        <w:t xml:space="preserve">???</w:t>
      </w:r>
      <w:r>
        <w:t xml:space="preserve">)</w:t>
      </w:r>
      <w:r>
        <w:t xml:space="preserve">. Determining the climate variables that most strongly control all parameters is beyond the scope of this analysis.</w:t>
      </w:r>
    </w:p>
    <w:bookmarkEnd w:id="39"/>
    <w:bookmarkStart w:id="40" w:name="hypothesis-testing"/>
    <w:p>
      <w:pPr>
        <w:pStyle w:val="Heading2"/>
      </w:pPr>
      <w:r>
        <w:t xml:space="preserve">Hypothesis testing</w:t>
      </w:r>
    </w:p>
    <w:p>
      <w:pPr>
        <w:pStyle w:val="FirstParagraph"/>
      </w:pPr>
      <w:r>
        <w:t xml:space="preserve">(</w:t>
      </w:r>
      <w:r>
        <w:rPr>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r>
              <m:t>i</m:t>
            </m:r>
            <m:r>
              <m:t>p</m:t>
            </m:r>
          </m:sub>
        </m:sSub>
      </m:oMath>
      <w:r>
        <w:t xml:space="preserve">,</w:t>
      </w:r>
      <w:r>
        <w:t xml:space="preserve"> </w:t>
      </w:r>
      <m:oMath>
        <m:sSub>
          <m:e>
            <m:r>
              <m:t>r</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t xml:space="preserve"> </w:t>
      </w:r>
      <w:r>
        <w:t xml:space="preserve">(</w:t>
      </w:r>
      <w:r>
        <w:rPr>
          <w:b/>
        </w:rPr>
        <w:t xml:space="preserve">???</w:t>
      </w:r>
      <w:r>
        <w:t xml:space="preserve">)</w:t>
      </w:r>
      <w:r>
        <w:t xml:space="preserve">.</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40"/>
    <w:bookmarkEnd w:id="41"/>
    <w:bookmarkStart w:id="52" w:name="results"/>
    <w:p>
      <w:pPr>
        <w:pStyle w:val="Heading1"/>
      </w:pPr>
      <w:r>
        <w:t xml:space="preserve">Results</w:t>
      </w:r>
    </w:p>
    <w:bookmarkStart w:id="44" w:name="phenological-patterns"/>
    <w:p>
      <w:pPr>
        <w:pStyle w:val="Heading2"/>
      </w:pPr>
      <w:r>
        <w:t xml:space="preserve">Phenological patterns</w:t>
      </w:r>
    </w:p>
    <w:p>
      <w:pPr>
        <w:pStyle w:val="FirstParagraph"/>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 21 days longer at SCBI and 19 days longer at Harvard Forest.</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&lt;1 day longer for diffuse-porous species.</w:t>
      </w:r>
    </w:p>
    <w:p>
      <w:pPr>
        <w:pStyle w:val="CaptionedFigure"/>
      </w:pPr>
      <w:r>
        <w:drawing>
          <wp:inline>
            <wp:extent cx="5334000" cy="2667000"/>
            <wp:effectExtent b="0" l="0" r="0" t="0"/>
            <wp:docPr descr="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Growth trajectories for ring- and diffuse-porous trees, as both relative and cumulative fractions of total annual growth. Each line represents one year’s growth for a given tree, fit with McMahon model.</w:t>
      </w:r>
    </w:p>
    <w:p>
      <w:pPr>
        <w:pStyle w:val="BodyText"/>
      </w:pPr>
      <w:r>
        <w:drawing>
          <wp:inline>
            <wp:extent cx="5334000" cy="2206486"/>
            <wp:effectExtent b="0" l="0" r="0" t="0"/>
            <wp:docPr descr="" title="" id="1" name="Picture"/>
            <a:graphic>
              <a:graphicData uri="http://schemas.openxmlformats.org/drawingml/2006/picture">
                <pic:pic>
                  <pic:nvPicPr>
                    <pic:cNvPr descr="tables_figures/mean_growth_parameters_table.png" id="0" name="Picture"/>
                    <pic:cNvPicPr>
                      <a:picLocks noChangeArrowheads="1" noChangeAspect="1"/>
                    </pic:cNvPicPr>
                  </pic:nvPicPr>
                  <pic:blipFill>
                    <a:blip r:embed="rId43"/>
                    <a:stretch>
                      <a:fillRect/>
                    </a:stretch>
                  </pic:blipFill>
                  <pic:spPr bwMode="auto">
                    <a:xfrm>
                      <a:off x="0" y="0"/>
                      <a:ext cx="5334000" cy="2206486"/>
                    </a:xfrm>
                    <a:prstGeom prst="rect">
                      <a:avLst/>
                    </a:prstGeom>
                    <a:noFill/>
                    <a:ln w="9525">
                      <a:noFill/>
                      <a:headEnd/>
                      <a:tailEnd/>
                    </a:ln>
                  </pic:spPr>
                </pic:pic>
              </a:graphicData>
            </a:graphic>
          </wp:inline>
        </w:drawing>
      </w:r>
    </w:p>
    <w:bookmarkEnd w:id="44"/>
    <w:bookmarkStart w:id="46"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rPr>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p>
    <w:p>
      <w:pPr>
        <w:pStyle w:val="CaptionedFigure"/>
      </w:pPr>
      <w:r>
        <w:drawing>
          <wp:inline>
            <wp:extent cx="5334000" cy="8001000"/>
            <wp:effectExtent b="0" l="0" r="0" t="0"/>
            <wp:docPr descr="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45"/>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3, S1-S4).</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w:t>
      </w:r>
      <w:r>
        <w:t xml:space="preserve"> </w:t>
      </w:r>
      <w:r>
        <w:rPr>
          <w:rStyle w:val="VerbatimChar"/>
        </w:rPr>
        <w:t xml:space="preserve">r climwin_rp_DOY25_SCBI</w:t>
      </w:r>
      <w:r>
        <w:t xml:space="preserve"> </w:t>
      </w:r>
      <w:r>
        <w:t xml:space="preserve">-</w:t>
      </w:r>
      <w:r>
        <w:t xml:space="preserve"> </w:t>
      </w:r>
      <w:r>
        <w:rPr>
          <w:rStyle w:val="VerbatimChar"/>
        </w:rPr>
        <w:t xml:space="preserve">climwin_dp_DOY25_SCBI</w:t>
      </w:r>
      <w:r>
        <w:t xml:space="preserve">).</w:t>
      </w:r>
      <w:r>
        <w:t xml:space="preserve"> </w:t>
      </w:r>
      <w:r>
        <w:t xml:space="preserve">In contrast, at Harvard Forest, where we had only six years of data,</w:t>
      </w:r>
      <w:r>
        <w:t xml:space="preserve"> </w:t>
      </w:r>
      <w:r>
        <w:rPr>
          <w:i/>
        </w:rPr>
        <w:t xml:space="preserve">climwin</w:t>
      </w:r>
      <w:r>
        <w:t xml:space="preserve"> </w:t>
      </w:r>
      <w:r>
        <w:t xml:space="preserve">selected windows, both &gt; 5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 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w:t>
      </w:r>
    </w:p>
    <w:bookmarkEnd w:id="46"/>
    <w:bookmarkStart w:id="49" w:name="climate-sensitivity-of-phenology"/>
    <w:p>
      <w:pPr>
        <w:pStyle w:val="Heading2"/>
      </w:pPr>
      <w:r>
        <w:t xml:space="preserve">Climate sensitivity of phenology</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temperature window (Table 1, 4, 5).</w:t>
      </w:r>
    </w:p>
    <w:p>
      <w:pPr>
        <w:pStyle w:val="CaptionedFigure"/>
      </w:pPr>
      <w:r>
        <w:drawing>
          <wp:inline>
            <wp:extent cx="5334000" cy="8890000"/>
            <wp:effectExtent b="0" l="0" r="0" t="0"/>
            <wp:docPr descr="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7"/>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334000" cy="5334000"/>
            <wp:effectExtent b="0" l="0" r="0" t="0"/>
            <wp:docPr descr="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Day of year where growth milestones were achied at (a) the Smithonian Conservation Biology Institute and (b) Harvard Forest.</w:t>
      </w:r>
    </w:p>
    <w:p>
      <w:pPr>
        <w:pStyle w:val="BodyText"/>
      </w:pPr>
      <w:r>
        <w:t xml:space="preserve">For three of the four species group-site combinations (exception: ring-porous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(Tables 1, Figs. 4, 5).</w:t>
      </w:r>
      <w:r>
        <w:t xml:space="preserve"> </w:t>
      </w: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as a result of warmer springs whereas</w:t>
      </w:r>
      <w:r>
        <w:t xml:space="preserve"> </w:t>
      </w:r>
      <m:oMath>
        <m:r>
          <m:t>D</m:t>
        </m:r>
        <m:r>
          <m:t>O</m:t>
        </m:r>
        <m:sSub>
          <m:e>
            <m:r>
              <m:t>Y</m:t>
            </m:r>
          </m:e>
          <m:sub>
            <m:r>
              <m:t>75</m:t>
            </m:r>
          </m:sub>
        </m:sSub>
      </m:oMath>
      <w:r>
        <w:t xml:space="preserve"> </w:t>
      </w:r>
      <w:r>
        <w:t xml:space="preserve">did not shift significantly, resulting in a positive correlation between</w:t>
      </w:r>
      <w:r>
        <w:t xml:space="preserve"> </w:t>
      </w:r>
      <m:oMath>
        <m:sSub>
          <m:e>
            <m:r>
              <m:t>L</m:t>
            </m:r>
          </m:e>
          <m:sub>
            <m:r>
              <m:t>P</m:t>
            </m:r>
            <m:r>
              <m:t>G</m:t>
            </m:r>
            <m:r>
              <m:t>S</m:t>
            </m:r>
          </m:sub>
        </m:sSub>
      </m:oMath>
      <w:r>
        <w:t xml:space="preserve"> </w:t>
      </w:r>
      <w:r>
        <w:t xml:space="preserve">and</w:t>
      </w:r>
      <w:r>
        <w:t xml:space="preserve"> </w:t>
      </w:r>
      <m:oMath>
        <m:sSub>
          <m:e>
            <m:r>
              <m:t>T</m:t>
            </m:r>
          </m:e>
          <m:sub>
            <m:r>
              <m:t>m</m:t>
            </m:r>
            <m:r>
              <m:t>a</m:t>
            </m:r>
            <m:r>
              <m:t>x</m:t>
            </m:r>
          </m:sub>
        </m:sSub>
      </m:oMath>
      <w:r>
        <w:t xml:space="preserve"> </w:t>
      </w:r>
      <w:r>
        <w:t xml:space="preserve">during the critical temperature.</w:t>
      </w:r>
      <w:r>
        <w:t xml:space="preserve"> </w:t>
      </w:r>
      <w:r>
        <w:t xml:space="preserve">For diffuse-porous species at both SCBI and Harvard Forest,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bookmarkEnd w:id="49"/>
    <w:bookmarkStart w:id="51"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(Table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4).</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6, S5).</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6).</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
        </w:rPr>
        <w:t xml:space="preserve">Carya tomentosa</w:t>
      </w:r>
      <w:r>
        <w:t xml:space="preserve"> </w:t>
      </w:r>
      <w:r>
        <w:t xml:space="preserve">in March at SCBI; diffuse-porous</w:t>
      </w:r>
      <w:r>
        <w:t xml:space="preserve"> </w:t>
      </w:r>
      <w:r>
        <w:rPr>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
        </w:rPr>
        <w:t xml:space="preserve">Quercus rubra</w:t>
      </w:r>
      <w:r>
        <w:t xml:space="preserve"> </w:t>
      </w:r>
      <w:r>
        <w:t xml:space="preserve">in June).</w:t>
      </w:r>
    </w:p>
    <w:p>
      <w:pPr>
        <w:pStyle w:val="CaptionedFigure"/>
      </w:pPr>
      <w:r>
        <w:drawing>
          <wp:inline>
            <wp:extent cx="3810000" cy="2540000"/>
            <wp:effectExtent b="0" l="0" r="0" t="0"/>
            <wp:docPr descr="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S5).</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bookmarkEnd w:id="51"/>
    <w:bookmarkEnd w:id="52"/>
    <w:bookmarkStart w:id="53" w:name="discussion"/>
    <w:p>
      <w:pPr>
        <w:pStyle w:val="Heading1"/>
      </w:pPr>
      <w:r>
        <w:t xml:space="preserve">Discussion</w:t>
      </w:r>
    </w:p>
    <w:p>
      <w:pPr>
        <w:pStyle w:val="FirstParagraph"/>
      </w:pPr>
      <w:r>
        <w:t xml:space="preserve">We found that warmer spring temperatures in temperate deciduous forests cause earlier tree growth but have little effect on annual woody productivity…</w:t>
      </w:r>
    </w:p>
    <w:p>
      <w:pPr>
        <w:pStyle w:val="BodyText"/>
      </w:pPr>
      <w:r>
        <w:t xml:space="preserve">Although the number of years analyzed here is limited (# years at SCBI, # years at HF), the signal is clear and consistent: for both species groups at both sites, warmer temperatures during virtually any part of the spring led to significantly earlier achievement of growth milestones (</w:t>
      </w:r>
      <w:r>
        <w:rPr>
          <w:i/>
        </w:rPr>
        <w:t xml:space="preserve">CITE RELEVANT FIGS &amp; TABLES</w:t>
      </w:r>
      <w:r>
        <w:t xml:space="preserve"> </w:t>
      </w:r>
      <w:r>
        <w:t xml:space="preserve">).</w:t>
      </w:r>
      <w:r>
        <w:t xml:space="preserve"> </w:t>
      </w:r>
      <w:r>
        <w:t xml:space="preserve">This indicates that this is not a subtle effect.</w:t>
      </w:r>
      <w:r>
        <w:t xml:space="preserve"> </w:t>
      </w:r>
      <w:r>
        <w:t xml:space="preserve">However, the effect on L_PGS, r_max, and</w:t>
      </w:r>
      <w:r>
        <w:t xml:space="preserve"> </w:t>
      </w:r>
      <m:oMath>
        <m:r>
          <m:t>Δ</m:t>
        </m:r>
        <m:r>
          <m:t>D</m:t>
        </m:r>
        <m:r>
          <m:t>B</m:t>
        </m:r>
        <m:r>
          <m:t>H</m:t>
        </m:r>
      </m:oMath>
      <w:r>
        <w:t xml:space="preserve">, if any, is subtle, and a much longer record would be needed to detect such effects.</w:t>
      </w:r>
      <w:r>
        <w:t xml:space="preserve"> </w:t>
      </w:r>
      <w:r>
        <w:t xml:space="preserve">Fortunately, we were able to get at annual growth using tree-ring data (Fig. 6).</w:t>
      </w:r>
      <w:r>
        <w:t xml:space="preserve"> </w:t>
      </w:r>
      <w:r>
        <w:t xml:space="preserve">These confirm that the effect of spring temperatures on annual growth is modest and generally not significant, while revealing a slightly more complex picture.</w:t>
      </w:r>
      <w:r>
        <w:t xml:space="preserve"> </w:t>
      </w:r>
      <w:r>
        <w:t xml:space="preserve">Although spring temperatures prior to May rarely had a significant influence on …</w:t>
      </w:r>
    </w:p>
    <w:p>
      <w:pPr>
        <w:pStyle w:val="BodyText"/>
      </w:pPr>
      <w:r>
        <w:t xml:space="preserve">THe tree-rings also reveal that the strongest temperature sensitivity aligned with peak growing season.</w:t>
      </w:r>
      <w:r>
        <w:t xml:space="preserve"> </w:t>
      </w:r>
      <w:r>
        <w:t xml:space="preserve">This pattern is common across tree-ring studies in temperate deciduous forests.</w:t>
      </w:r>
      <w:r>
        <w:t xml:space="preserve"> </w:t>
      </w:r>
      <w:r>
        <w:t xml:space="preserve">(</w:t>
      </w:r>
      <w:r>
        <w:rPr>
          <w:i/>
        </w:rPr>
        <w:t xml:space="preserve">1-2 sentences generalizing about climate sensitivity of temperate deciduous forest growth–Neil can do this most easily.</w:t>
      </w:r>
      <w:r>
        <w:t xml:space="preserve">)</w:t>
      </w:r>
      <w:r>
        <w:t xml:space="preserve"> </w:t>
      </w:r>
      <w:r>
        <w:t xml:space="preserve">Thus, while our analysis is limited to two sites, we expect that the finding that spring temperatures have limited effect on annual tree growth will hold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(REFS), an earlier start to net C sequestration (REFS), and–as shown here–earlier initiation of stem growth (</w:t>
      </w:r>
      <w:r>
        <w:rPr>
          <w:i/>
        </w:rPr>
        <w:t xml:space="preserve">CITE RELEVANT FIGS &amp; TABLES</w:t>
      </w:r>
      <w:r>
        <w:t xml:space="preserve"> </w:t>
      </w:r>
      <w:r>
        <w:t xml:space="preserve">).</w:t>
      </w:r>
      <w:r>
        <w:t xml:space="preserve"> </w:t>
      </w:r>
      <w:r>
        <w:t xml:space="preserve">Yet, an earlier start to the growing season does not imply a longer growing season</w:t>
      </w:r>
      <w:r>
        <w:t xml:space="preserve"> </w:t>
      </w:r>
      <w:r>
        <w:t xml:space="preserve">(Table 1, Figs 4, 5;</w:t>
      </w:r>
      <w:r>
        <w:t xml:space="preserve"> </w:t>
      </w:r>
      <w:r>
        <w:rPr>
          <w:b/>
        </w:rPr>
        <w:t xml:space="preserve">???</w:t>
      </w:r>
      <w:r>
        <w:t xml:space="preserve">)</w:t>
      </w:r>
      <w:r>
        <w:t xml:space="preserve">.</w:t>
      </w:r>
      <w:r>
        <w:t xml:space="preserve"> </w:t>
      </w:r>
      <w:r>
        <w:t xml:space="preserve">Rather, growth finishes sooner– presumably because of</w:t>
      </w:r>
      <w:r>
        <w:t xml:space="preserve"> </w:t>
      </w:r>
      <w:r>
        <w:rPr>
          <w:i/>
        </w:rPr>
        <w:t xml:space="preserve">C sink limitation</w:t>
      </w:r>
      <w:r>
        <w:t xml:space="preserve"> </w:t>
      </w:r>
      <w:r>
        <w:t xml:space="preserve">(</w:t>
      </w:r>
      <w:r>
        <w:rPr>
          <w:b/>
        </w:rPr>
        <w:t xml:space="preserve">???</w:t>
      </w:r>
      <w:r>
        <w:t xml:space="preserve">)</w:t>
      </w:r>
      <w:r>
        <w:t xml:space="preserve">.</w:t>
      </w:r>
      <w:r>
        <w:t xml:space="preserve"> </w:t>
      </w:r>
      <w:r>
        <w:t xml:space="preserve">As sink limitation controls the end of woody growing season</w:t>
      </w:r>
      <w:r>
        <w:t xml:space="preserve"> </w:t>
      </w:r>
      <w:r>
        <w:t xml:space="preserve">(</w:t>
      </w:r>
      <w:r>
        <w:rPr>
          <w:b/>
        </w:rPr>
        <w:t xml:space="preserve">???</w:t>
      </w:r>
      <w:r>
        <w:t xml:space="preserve">)</w:t>
      </w:r>
      <w:r>
        <w:t xml:space="preserve">, we might expect that an earlier start to growth buffers against unfavorable growth conditions during the peak growing season (e.g., drought).</w:t>
      </w:r>
      <w:r>
        <w:t xml:space="preserve"> </w:t>
      </w:r>
      <w:r>
        <w:rPr>
          <w:i/>
        </w:rPr>
        <w:t xml:space="preserve">Do we see any evidence of this???</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w:t>
      </w:r>
      <w:r>
        <w:t xml:space="preserve"> </w:t>
      </w:r>
      <w:r>
        <w:t xml:space="preserve">(Table 1; Figs. 4, 6;</w:t>
      </w:r>
      <w:r>
        <w:t xml:space="preserve"> </w:t>
      </w:r>
      <w:r>
        <w:rPr>
          <w:b/>
        </w:rPr>
        <w:t xml:space="preserve">???</w:t>
      </w:r>
      <w:r>
        <w:t xml:space="preserve">)</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p>
      <w:pPr>
        <w:pStyle w:val="BodyText"/>
      </w:pPr>
      <w:r>
        <w:t xml:space="preserve">~~~~</w:t>
      </w:r>
      <w:r>
        <w:t xml:space="preserve"> </w:t>
      </w:r>
      <w:r>
        <w:t xml:space="preserve">## Cam’s previous content</w:t>
      </w:r>
    </w:p>
    <w:p>
      <w:pPr>
        <w:pStyle w:val="BodyText"/>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3"/>
    <w:bookmarkStart w:id="54" w:name="content-to-incorporate"/>
    <w:p>
      <w:pPr>
        <w:pStyle w:val="Heading1"/>
      </w:pPr>
      <w:r>
        <w:t xml:space="preserve">(Content to incorporate)</w:t>
      </w:r>
    </w:p>
    <w:p>
      <w:pPr>
        <w:pStyle w:val="FirstParagraph"/>
      </w:pPr>
      <w:r>
        <w:t xml:space="preserve">new Science paper:</w:t>
      </w:r>
      <w:r>
        <w:t xml:space="preserve"> </w:t>
      </w:r>
      <w:r>
        <w:t xml:space="preserve">(</w:t>
      </w:r>
      <w:r>
        <w:rPr>
          <w:b/>
        </w:rPr>
        <w:t xml:space="preserve">???</w:t>
      </w:r>
      <w:r>
        <w:t xml:space="preserve">)</w:t>
      </w:r>
    </w:p>
    <w:p>
      <w:pPr>
        <w:pStyle w:val="BodyText"/>
      </w:pPr>
      <w:r>
        <w:t xml:space="preserve">(</w:t>
      </w:r>
      <w:r>
        <w:rPr>
          <w:b/>
        </w:rPr>
        <w:t xml:space="preserve">???</w:t>
      </w:r>
      <w:r>
        <w:t xml:space="preserve">)</w:t>
      </w:r>
    </w:p>
    <w:p>
      <w:pPr>
        <w:pStyle w:val="BodyText"/>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4"/>
    <w:bookmarkStart w:id="55"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55"/>
    <w:bookmarkStart w:id="56" w:name="author-contributions"/>
    <w:p>
      <w:pPr>
        <w:pStyle w:val="Heading1"/>
      </w:pPr>
      <w:r>
        <w:t xml:space="preserve">Author Contributions</w:t>
      </w:r>
    </w:p>
    <w:bookmarkEnd w:id="56"/>
    <w:bookmarkStart w:id="57" w:name="supporting-information"/>
    <w:p>
      <w:pPr>
        <w:pStyle w:val="Heading1"/>
      </w:pP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57"/>
    <w:bookmarkStart w:id="76" w:name="references"/>
    <w:p>
      <w:pPr>
        <w:pStyle w:val="Heading1"/>
      </w:pPr>
      <w:r>
        <w:t xml:space="preserve">References</w:t>
      </w:r>
    </w:p>
    <w:bookmarkStart w:id="75" w:name="refs"/>
    <w:bookmarkStart w:id="58"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58"/>
    <w:bookmarkStart w:id="60"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59">
        <w:r>
          <w:rPr>
            <w:rStyle w:val="Hyperlink"/>
          </w:rPr>
          <w:t xml:space="preserve">https://doi.org/10.1111/j.1365-2486.2005.001012.x</w:t>
        </w:r>
      </w:hyperlink>
    </w:p>
    <w:bookmarkEnd w:id="60"/>
    <w:bookmarkStart w:id="62"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1">
        <w:r>
          <w:rPr>
            <w:rStyle w:val="Hyperlink"/>
          </w:rPr>
          <w:t xml:space="preserve">https://doi.org/10.1175/JCLI3800.1</w:t>
        </w:r>
      </w:hyperlink>
    </w:p>
    <w:bookmarkEnd w:id="62"/>
    <w:bookmarkStart w:id="64"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3">
        <w:r>
          <w:rPr>
            <w:rStyle w:val="Hyperlink"/>
          </w:rPr>
          <w:t xml:space="preserve">https://doi.org/10.1111/gcb.14731</w:t>
        </w:r>
      </w:hyperlink>
    </w:p>
    <w:bookmarkEnd w:id="64"/>
    <w:bookmarkStart w:id="66"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5">
        <w:r>
          <w:rPr>
            <w:rStyle w:val="Hyperlink"/>
          </w:rPr>
          <w:t xml:space="preserve">https://doi.org/10.1038/nclimate2253</w:t>
        </w:r>
      </w:hyperlink>
    </w:p>
    <w:bookmarkEnd w:id="66"/>
    <w:bookmarkStart w:id="68"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67">
        <w:r>
          <w:rPr>
            <w:rStyle w:val="Hyperlink"/>
          </w:rPr>
          <w:t xml:space="preserve">https://doi.org/10.1002/ece3.1117</w:t>
        </w:r>
      </w:hyperlink>
    </w:p>
    <w:bookmarkEnd w:id="68"/>
    <w:bookmarkStart w:id="70"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69">
        <w:r>
          <w:rPr>
            <w:rStyle w:val="Hyperlink"/>
          </w:rPr>
          <w:t xml:space="preserve">https://doi.org/10.1007/s13595-020-01008-1</w:t>
        </w:r>
      </w:hyperlink>
    </w:p>
    <w:bookmarkEnd w:id="70"/>
    <w:bookmarkStart w:id="72"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1">
        <w:r>
          <w:rPr>
            <w:rStyle w:val="Hyperlink"/>
          </w:rPr>
          <w:t xml:space="preserve">https://doi.org/10.1016/j.catena.2020.104936</w:t>
        </w:r>
      </w:hyperlink>
    </w:p>
    <w:bookmarkEnd w:id="72"/>
    <w:bookmarkStart w:id="74"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3">
        <w:r>
          <w:rPr>
            <w:rStyle w:val="Hyperlink"/>
          </w:rPr>
          <w:t xml:space="preserve">https://doi.org/10.1016/j.agrformet.2016.06.010</w:t>
        </w:r>
      </w:hyperlink>
    </w:p>
    <w:bookmarkEnd w:id="74"/>
    <w:bookmarkEnd w:id="75"/>
    <w:bookmarkEnd w:id="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50" Target="media/rId50.tiff"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7" Target="https://doi.org/10.1002/ece3.1117" TargetMode="External" /><Relationship Type="http://schemas.openxmlformats.org/officeDocument/2006/relationships/hyperlink" Id="rId69" Target="https://doi.org/10.1007/s13595-020-01008-1" TargetMode="External" /><Relationship Type="http://schemas.openxmlformats.org/officeDocument/2006/relationships/hyperlink" Id="rId73" Target="https://doi.org/10.1016/j.agrformet.2016.06.010" TargetMode="External" /><Relationship Type="http://schemas.openxmlformats.org/officeDocument/2006/relationships/hyperlink" Id="rId71" Target="https://doi.org/10.1016/j.catena.2020.104936" TargetMode="External" /><Relationship Type="http://schemas.openxmlformats.org/officeDocument/2006/relationships/hyperlink" Id="rId65" Target="https://doi.org/10.1038/nclimate2253" TargetMode="External" /><Relationship Type="http://schemas.openxmlformats.org/officeDocument/2006/relationships/hyperlink" Id="rId63" Target="https://doi.org/10.1111/gcb.14731" TargetMode="External" /><Relationship Type="http://schemas.openxmlformats.org/officeDocument/2006/relationships/hyperlink" Id="rId59" Target="https://doi.org/10.1111/j.1365-2486.2005.001012.x" TargetMode="External" /><Relationship Type="http://schemas.openxmlformats.org/officeDocument/2006/relationships/hyperlink" Id="rId61" Target="https://doi.org/10.1175/JCLI3800.1" TargetMode="External" /><Relationship Type="http://schemas.openxmlformats.org/officeDocument/2006/relationships/hyperlink" Id="rId35" Target="https://forestgeo.github.io/Climate/" TargetMode="External" /><Relationship Type="http://schemas.openxmlformats.org/officeDocument/2006/relationships/hyperlink" Id="rId36"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67" Target="https://doi.org/10.1002/ece3.1117" TargetMode="External" /><Relationship Type="http://schemas.openxmlformats.org/officeDocument/2006/relationships/hyperlink" Id="rId69" Target="https://doi.org/10.1007/s13595-020-01008-1" TargetMode="External" /><Relationship Type="http://schemas.openxmlformats.org/officeDocument/2006/relationships/hyperlink" Id="rId73" Target="https://doi.org/10.1016/j.agrformet.2016.06.010" TargetMode="External" /><Relationship Type="http://schemas.openxmlformats.org/officeDocument/2006/relationships/hyperlink" Id="rId71" Target="https://doi.org/10.1016/j.catena.2020.104936" TargetMode="External" /><Relationship Type="http://schemas.openxmlformats.org/officeDocument/2006/relationships/hyperlink" Id="rId65" Target="https://doi.org/10.1038/nclimate2253" TargetMode="External" /><Relationship Type="http://schemas.openxmlformats.org/officeDocument/2006/relationships/hyperlink" Id="rId63" Target="https://doi.org/10.1111/gcb.14731" TargetMode="External" /><Relationship Type="http://schemas.openxmlformats.org/officeDocument/2006/relationships/hyperlink" Id="rId59" Target="https://doi.org/10.1111/j.1365-2486.2005.001012.x" TargetMode="External" /><Relationship Type="http://schemas.openxmlformats.org/officeDocument/2006/relationships/hyperlink" Id="rId61" Target="https://doi.org/10.1175/JCLI3800.1" TargetMode="External" /><Relationship Type="http://schemas.openxmlformats.org/officeDocument/2006/relationships/hyperlink" Id="rId35" Target="https://forestgeo.github.io/Climate/" TargetMode="External" /><Relationship Type="http://schemas.openxmlformats.org/officeDocument/2006/relationships/hyperlink" Id="rId36"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2020-12-07T15:48:45Z</dcterms:created>
  <dcterms:modified xsi:type="dcterms:W3CDTF">2020-12-07T15:48:45Z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word_document</vt:lpwstr>
  </property>
</Properties>
</file>